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33" w:rsidRDefault="006A7D33" w:rsidP="006A7D33">
      <w:pPr>
        <w:shd w:val="clear" w:color="auto" w:fill="FFFFFF"/>
        <w:spacing w:after="0" w:line="240" w:lineRule="auto"/>
        <w:outlineLvl w:val="0"/>
        <w:rPr>
          <w:rFonts w:ascii="Helvetica" w:eastAsia="Times New Roman" w:hAnsi="Helvetica" w:cs="Helvetica"/>
          <w:kern w:val="36"/>
          <w:sz w:val="40"/>
          <w:szCs w:val="40"/>
        </w:rPr>
      </w:pPr>
      <w:r w:rsidRPr="006A7D33">
        <w:rPr>
          <w:rFonts w:ascii="Helvetica" w:eastAsia="Times New Roman" w:hAnsi="Helvetica" w:cs="Helvetica"/>
          <w:kern w:val="36"/>
          <w:sz w:val="40"/>
          <w:szCs w:val="40"/>
        </w:rPr>
        <w:t>Role of Biomaterial Scaffolds in Tissue Engineering and Stem Cell Therapy</w:t>
      </w:r>
    </w:p>
    <w:p w:rsidR="006A7D33" w:rsidRDefault="006A7D33" w:rsidP="006A7D33">
      <w:pPr>
        <w:shd w:val="clear" w:color="auto" w:fill="FFFFFF"/>
        <w:spacing w:after="188" w:line="240" w:lineRule="auto"/>
        <w:outlineLvl w:val="0"/>
        <w:rPr>
          <w:rFonts w:ascii="Helvetica" w:hAnsi="Helvetica" w:cs="Helvetica"/>
          <w:b/>
          <w:bCs/>
          <w:sz w:val="21"/>
          <w:szCs w:val="21"/>
          <w:shd w:val="clear" w:color="auto" w:fill="FFFFFF"/>
        </w:rPr>
      </w:pPr>
      <w:r>
        <w:rPr>
          <w:rFonts w:ascii="Helvetica" w:hAnsi="Helvetica" w:cs="Helvetica"/>
          <w:b/>
          <w:bCs/>
          <w:color w:val="9AA4A5"/>
          <w:sz w:val="21"/>
          <w:szCs w:val="21"/>
          <w:shd w:val="clear" w:color="auto" w:fill="FFFFFF"/>
        </w:rPr>
        <w:t>By</w:t>
      </w:r>
      <w:r>
        <w:rPr>
          <w:rStyle w:val="apple-converted-space"/>
          <w:rFonts w:ascii="Helvetica" w:hAnsi="Helvetica" w:cs="Helvetica"/>
          <w:b/>
          <w:bCs/>
          <w:color w:val="9AA4A5"/>
          <w:sz w:val="21"/>
          <w:szCs w:val="21"/>
          <w:shd w:val="clear" w:color="auto" w:fill="FFFFFF"/>
        </w:rPr>
        <w:t> </w:t>
      </w:r>
      <w:hyperlink r:id="rId4" w:history="1">
        <w:r w:rsidRPr="006A7D33">
          <w:rPr>
            <w:rStyle w:val="Hyperlink"/>
            <w:rFonts w:ascii="Helvetica" w:hAnsi="Helvetica" w:cs="Helvetica"/>
            <w:b/>
            <w:bCs/>
            <w:color w:val="auto"/>
            <w:sz w:val="21"/>
            <w:szCs w:val="21"/>
            <w:shd w:val="clear" w:color="auto" w:fill="FFFFFF"/>
          </w:rPr>
          <w:t xml:space="preserve">Richard </w:t>
        </w:r>
        <w:proofErr w:type="spellStart"/>
        <w:r w:rsidRPr="006A7D33">
          <w:rPr>
            <w:rStyle w:val="Hyperlink"/>
            <w:rFonts w:ascii="Helvetica" w:hAnsi="Helvetica" w:cs="Helvetica"/>
            <w:b/>
            <w:bCs/>
            <w:color w:val="auto"/>
            <w:sz w:val="21"/>
            <w:szCs w:val="21"/>
            <w:shd w:val="clear" w:color="auto" w:fill="FFFFFF"/>
          </w:rPr>
          <w:t>McMurtrey</w:t>
        </w:r>
        <w:proofErr w:type="spellEnd"/>
      </w:hyperlink>
      <w:r w:rsidRPr="006A7D33">
        <w:rPr>
          <w:rStyle w:val="apple-converted-space"/>
          <w:rFonts w:ascii="Helvetica" w:hAnsi="Helvetica" w:cs="Helvetica"/>
          <w:b/>
          <w:bCs/>
          <w:sz w:val="21"/>
          <w:szCs w:val="21"/>
          <w:shd w:val="clear" w:color="auto" w:fill="FFFFFF"/>
        </w:rPr>
        <w:t> </w:t>
      </w:r>
      <w:r w:rsidRPr="006A7D33">
        <w:rPr>
          <w:rFonts w:ascii="Helvetica" w:hAnsi="Helvetica" w:cs="Helvetica"/>
          <w:b/>
          <w:bCs/>
          <w:sz w:val="21"/>
          <w:szCs w:val="21"/>
          <w:shd w:val="clear" w:color="auto" w:fill="FFFFFF"/>
        </w:rPr>
        <w:t>on 29 Apr, 2016</w:t>
      </w:r>
    </w:p>
    <w:p w:rsidR="006A7D33" w:rsidRDefault="006A7D33" w:rsidP="006A7D33">
      <w:pPr>
        <w:shd w:val="clear" w:color="auto" w:fill="FFFFFF"/>
        <w:spacing w:after="188" w:line="240" w:lineRule="auto"/>
        <w:outlineLvl w:val="0"/>
        <w:rPr>
          <w:rFonts w:ascii="Helvetica" w:hAnsi="Helvetica" w:cs="Helvetica"/>
          <w:sz w:val="30"/>
          <w:szCs w:val="30"/>
          <w:shd w:val="clear" w:color="auto" w:fill="FFFFFF"/>
        </w:rPr>
      </w:pPr>
      <w:r w:rsidRPr="006A7D33">
        <w:rPr>
          <w:rFonts w:ascii="Helvetica" w:hAnsi="Helvetica" w:cs="Helvetica"/>
          <w:sz w:val="30"/>
          <w:szCs w:val="30"/>
          <w:shd w:val="clear" w:color="auto" w:fill="FFFFFF"/>
        </w:rPr>
        <w:t>Biomaterials form a powerful and indispensable tool in the study of stem cells and their application to regenerative medicine.</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It has long been recognized that stem cells hold tremendous therapeutic potential for a variety of diseases and injuries, particularly for numerous ailments that have no effective treatments, but restoring tissue and organ functions with stem cells has also posed several challenges that remain to be overcome. One approach for surmounting many of these limitations and significantly advancing capabilities of stem cells in therapeutic applications is the use of biomaterials with stem cells. Biomaterials offer numerous advantages and expand capabilities that generally cannot be achieved with stem cells alone, particularly in the case of implanting cells and reconstructing damaged tissue.</w:t>
      </w:r>
    </w:p>
    <w:p w:rsidR="006A7D33" w:rsidRPr="006A7D33" w:rsidRDefault="006A7D33" w:rsidP="006A7D33">
      <w:pPr>
        <w:pStyle w:val="NormalWeb"/>
        <w:shd w:val="clear" w:color="auto" w:fill="FFFFFF"/>
        <w:spacing w:before="0" w:beforeAutospacing="0" w:after="225" w:afterAutospacing="0" w:line="432" w:lineRule="atLeast"/>
        <w:jc w:val="center"/>
        <w:rPr>
          <w:rFonts w:ascii="Helvetica" w:hAnsi="Helvetica" w:cs="Helvetica"/>
          <w:noProof/>
          <w:sz w:val="27"/>
          <w:szCs w:val="27"/>
        </w:rPr>
      </w:pPr>
      <w:r w:rsidRPr="006A7D33">
        <w:rPr>
          <w:rFonts w:ascii="Helvetica" w:hAnsi="Helvetica" w:cs="Helvetica"/>
          <w:noProof/>
          <w:sz w:val="27"/>
          <w:szCs w:val="27"/>
        </w:rPr>
        <w:t>Synthesis of Form and Function</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 xml:space="preserve">Tissue engineering aims to restore the function of damaged or diseased tissue by the use of stem cells and biomaterials. Biomaterials generally include forms of natural or synthetic matrix molecules that replicate aspects of innate extracellular matrix in various tissues. This biomaterial scaffolding can serve many functions, such as supporting structural organization of cells, providing cell signaling and differentiation cues, providing attachment points for cells and aiding anchorage-dependent survival, as well as preventing cells from being washed away from implantation sites in the body [1]. Many types of biomaterials have been shown to influence the survival and function of developing stem cells, and biomaterial designs can recapitulate the cellular interactions, matrix characteristics, biochemical gradients, and signaling </w:t>
      </w:r>
      <w:r w:rsidRPr="006A7D33">
        <w:rPr>
          <w:rFonts w:ascii="Helvetica" w:hAnsi="Helvetica" w:cs="Helvetica"/>
          <w:noProof/>
          <w:sz w:val="27"/>
          <w:szCs w:val="27"/>
        </w:rPr>
        <w:lastRenderedPageBreak/>
        <w:t>events that occur in development, in addition to supporting cell survival, differentiation, and integration into innate tissue.</w:t>
      </w:r>
    </w:p>
    <w:p w:rsidR="006A7D33" w:rsidRPr="006A7D33" w:rsidRDefault="006A7D33" w:rsidP="006A7D33">
      <w:pPr>
        <w:pStyle w:val="NormalWeb"/>
        <w:shd w:val="clear" w:color="auto" w:fill="FFFFFF"/>
        <w:spacing w:before="0" w:beforeAutospacing="0" w:after="225" w:afterAutospacing="0" w:line="432" w:lineRule="atLeast"/>
        <w:jc w:val="center"/>
        <w:rPr>
          <w:rFonts w:ascii="Helvetica" w:hAnsi="Helvetica" w:cs="Helvetica"/>
          <w:noProof/>
          <w:sz w:val="27"/>
          <w:szCs w:val="27"/>
        </w:rPr>
      </w:pPr>
      <w:r w:rsidRPr="006A7D33">
        <w:rPr>
          <w:rFonts w:ascii="Helvetica" w:hAnsi="Helvetica" w:cs="Helvetica"/>
          <w:noProof/>
          <w:sz w:val="27"/>
          <w:szCs w:val="27"/>
        </w:rPr>
        <w:t>Anatomical Organization</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The suspension of biomaterial polymers in an aqueous medium enables cells to be cultured in 3D configurations, which helps form unique structures and functions found in many types of organ tissues. This was shown in cerebral organoids, where clusters of pluripotent stem cells were cultured in spheres of proteinaceous Matrigel to create numerous types of neural structures and cell types [2]. 3D hydrogel cultures of stem cells have been shown to enable the formation of other advanced anatomical structures, including various gastrointestinal, hepatic, pancreatic, renal, retinal, and cerebral tissues. The cells themselves appear to possess innately-programmed capabilities to self-assemble at least some aspects of important anatomical structures even in unpatterned hydrogel constructs. For example, neural tissue organoids have demonstrated various aspects of ventricular, hippocampal, retinal, spinal, and cortical regions [2–4]. The use of biomaterials in clinically-relevant testing has also shown promise in enhancing cell survival [5], promoting a favorable regenerative environment [6], and extending neural connectivity through neural lesions [7].</w:t>
      </w:r>
    </w:p>
    <w:p w:rsidR="006A7D33" w:rsidRPr="006A7D33" w:rsidRDefault="006A7D33" w:rsidP="006A7D33">
      <w:pPr>
        <w:pStyle w:val="NormalWeb"/>
        <w:shd w:val="clear" w:color="auto" w:fill="FFFFFF"/>
        <w:spacing w:before="0" w:beforeAutospacing="0" w:after="225" w:afterAutospacing="0" w:line="432" w:lineRule="atLeast"/>
        <w:jc w:val="center"/>
        <w:rPr>
          <w:rFonts w:ascii="Helvetica" w:hAnsi="Helvetica" w:cs="Helvetica"/>
          <w:noProof/>
          <w:sz w:val="27"/>
          <w:szCs w:val="27"/>
        </w:rPr>
      </w:pPr>
      <w:r w:rsidRPr="006A7D33">
        <w:rPr>
          <w:rFonts w:ascii="Helvetica" w:hAnsi="Helvetica" w:cs="Helvetica"/>
          <w:noProof/>
          <w:sz w:val="27"/>
          <w:szCs w:val="27"/>
        </w:rPr>
        <w:t>Architectural Effects on Cells</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 xml:space="preserve">Advancing technologies may also enable biomaterials to provide detailed guidance of cellular and even subcellular architecture. For example, inclusion of functionalized polymer nanofibers within hydrogels can serve as cell attachment scaffolding that directs neurite outgrowth along the fibers [8]. Even characteristics like biomaterial stiffness, density, and cross-linking capability can influence the cell differentiation and function [9]. In addition, a wide array of tissue types and cell states can be achieved within the same choice of biomaterial, either by means of intrinsic cell signals or by means of various </w:t>
      </w:r>
      <w:r w:rsidRPr="006A7D33">
        <w:rPr>
          <w:rFonts w:ascii="Helvetica" w:hAnsi="Helvetica" w:cs="Helvetica"/>
          <w:noProof/>
          <w:sz w:val="27"/>
          <w:szCs w:val="27"/>
        </w:rPr>
        <w:lastRenderedPageBreak/>
        <w:t>growth factors and differentiation factors that can be supplied within the biomaterials. Thus much research remains to be done on the optimal combinations of biomaterials, signaling factors, scaffolding architectures, and culture medias needed to optimally prepare cells for transplantation and integration into specific tissues of the body.</w:t>
      </w:r>
    </w:p>
    <w:p w:rsidR="006A7D33" w:rsidRPr="006A7D33" w:rsidRDefault="006A7D33" w:rsidP="006A7D33">
      <w:pPr>
        <w:pStyle w:val="NormalWeb"/>
        <w:shd w:val="clear" w:color="auto" w:fill="FFFFFF"/>
        <w:spacing w:before="0" w:beforeAutospacing="0" w:after="225" w:afterAutospacing="0" w:line="432" w:lineRule="atLeast"/>
        <w:jc w:val="center"/>
        <w:rPr>
          <w:rFonts w:ascii="Helvetica" w:hAnsi="Helvetica" w:cs="Helvetica"/>
          <w:noProof/>
          <w:sz w:val="27"/>
          <w:szCs w:val="27"/>
        </w:rPr>
      </w:pPr>
      <w:r w:rsidRPr="006A7D33">
        <w:rPr>
          <w:rFonts w:ascii="Helvetica" w:hAnsi="Helvetica" w:cs="Helvetica"/>
          <w:noProof/>
          <w:sz w:val="27"/>
          <w:szCs w:val="27"/>
        </w:rPr>
        <w:t>Biocompatibility</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In addition, biomaterials may help enhance the biocompatibility of certain tissue implants. Certain types of matrix molecules may inhibit inflammatory and scarring reactions that arise from disrupting tissue or introducing a foreign body into the tissue, either by interacting with cellular receptors or by absorbing and diffusing reactive cell signaling factors. If the biomaterial takes too long to degrade or has too great of stiffness compared with the innate tissue, it may trigger foreign body reactions that prevent functional integration of the implanted cells; conversely, if the biomaterial degrades too quickly or is too elastic or friable, it may not adequately support functional integration of implanted cells into the tissue. Biomaterial polymers can be designed to facilitate integration into host tissue, minimize foreign-body reactions, and enhance the permissive environment of the tissue.</w:t>
      </w:r>
    </w:p>
    <w:p w:rsidR="006A7D33" w:rsidRPr="006A7D33" w:rsidRDefault="006A7D33" w:rsidP="006A7D33">
      <w:pPr>
        <w:pStyle w:val="NormalWeb"/>
        <w:shd w:val="clear" w:color="auto" w:fill="FFFFFF"/>
        <w:spacing w:before="0" w:beforeAutospacing="0" w:after="225" w:afterAutospacing="0" w:line="432" w:lineRule="atLeast"/>
        <w:jc w:val="center"/>
        <w:rPr>
          <w:rFonts w:ascii="Helvetica" w:hAnsi="Helvetica" w:cs="Helvetica"/>
          <w:noProof/>
          <w:sz w:val="27"/>
          <w:szCs w:val="27"/>
        </w:rPr>
      </w:pPr>
      <w:r w:rsidRPr="006A7D33">
        <w:rPr>
          <w:rFonts w:ascii="Helvetica" w:hAnsi="Helvetica" w:cs="Helvetica"/>
          <w:noProof/>
          <w:sz w:val="27"/>
          <w:szCs w:val="27"/>
        </w:rPr>
        <w:t>The Role of Diffusion</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 xml:space="preserve">Recent research has also suggested that the inherent diffusion limitations of gasses and nutrients through 3D tissue cultures can specifically affect cellular organization, differentiation state, and metabolic characteristics of cells [10]. Biochemical signaling factors included in the 3D tissue construct can form diffused concentration gradients that direct differentiation, axis patterning, and other cellular identities and functions at distinct regions of the tissue construct. Understanding these diffusion processes will better help deliver specific controllable concentrations of ions, nutrients, and growth factors to specific regions of the cellular tissue constructs, which in turn will enable tight control </w:t>
      </w:r>
      <w:r w:rsidRPr="006A7D33">
        <w:rPr>
          <w:rFonts w:ascii="Helvetica" w:hAnsi="Helvetica" w:cs="Helvetica"/>
          <w:noProof/>
          <w:sz w:val="27"/>
          <w:szCs w:val="27"/>
        </w:rPr>
        <w:lastRenderedPageBreak/>
        <w:t>of cell state and differentiation processes. Evidence suggests that stem cells implanted into the body may have better survival if they are cultured and prepared under certain conditions of stress or exposure, a form of “preconditioning” the cells [11], and culturing cells in 3D conditions with limited diffusion is one way of achieving the preconditioning effect.</w:t>
      </w:r>
    </w:p>
    <w:p w:rsidR="006A7D33" w:rsidRPr="006A7D33" w:rsidRDefault="006A7D33" w:rsidP="006A7D33">
      <w:pPr>
        <w:pStyle w:val="NormalWeb"/>
        <w:shd w:val="clear" w:color="auto" w:fill="FFFFFF"/>
        <w:spacing w:before="0" w:beforeAutospacing="0" w:after="225" w:afterAutospacing="0" w:line="432" w:lineRule="atLeast"/>
        <w:jc w:val="center"/>
        <w:rPr>
          <w:rFonts w:ascii="Helvetica" w:hAnsi="Helvetica" w:cs="Helvetica"/>
          <w:noProof/>
          <w:sz w:val="27"/>
          <w:szCs w:val="27"/>
        </w:rPr>
      </w:pPr>
      <w:r w:rsidRPr="006A7D33">
        <w:rPr>
          <w:rFonts w:ascii="Helvetica" w:hAnsi="Helvetica" w:cs="Helvetica"/>
          <w:noProof/>
          <w:sz w:val="27"/>
          <w:szCs w:val="27"/>
        </w:rPr>
        <w:t>Conclusions</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Altogether, it can be seen that when attempting to design ideal cellular constructs for implantation, numerous aspects must be carefully considered in the context of the specific tissue type and the desired functional effects. Restoring function in tissues and organs—whether brain, heart, lung, liver, kidney, nerve, muscle, or other tissues—is likely to require reconstructing functional architecture of the tissue rather than simply integrating isolated cells. Recent stem cell research has therefore focused on the application of biomaterials along with stem cells to enable desired patterning and organization of more accurate and complete tissue structures, and this work is of great import to regenerative medicine efforts.</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i/>
          <w:iCs/>
          <w:noProof/>
          <w:sz w:val="27"/>
          <w:szCs w:val="27"/>
        </w:rPr>
        <w:t>The author has no conflicts of interest and no financial disclosures to declare.</w:t>
      </w:r>
    </w:p>
    <w:p w:rsidR="006A7D33" w:rsidRPr="006A7D33" w:rsidRDefault="006A7D33" w:rsidP="006A7D33">
      <w:pPr>
        <w:pStyle w:val="NormalWeb"/>
        <w:shd w:val="clear" w:color="auto" w:fill="FFFFFF"/>
        <w:spacing w:before="0" w:beforeAutospacing="0" w:after="225" w:afterAutospacing="0" w:line="432" w:lineRule="atLeast"/>
        <w:jc w:val="center"/>
        <w:rPr>
          <w:rFonts w:ascii="Helvetica" w:hAnsi="Helvetica" w:cs="Helvetica"/>
          <w:noProof/>
          <w:sz w:val="27"/>
          <w:szCs w:val="27"/>
        </w:rPr>
      </w:pPr>
      <w:r w:rsidRPr="006A7D33">
        <w:rPr>
          <w:rFonts w:ascii="Helvetica" w:hAnsi="Helvetica" w:cs="Helvetica"/>
          <w:noProof/>
          <w:sz w:val="27"/>
          <w:szCs w:val="27"/>
        </w:rPr>
        <w:t>References</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1) McMurtrey RJ. Novel advancements in three-dimensional neural tissue engineering and regenerative medicine. Neural Regen. Res. 10(3), 352–354 (2015).</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2) Lancaster MA, Renner M, Martin CA et al. Cerebral organoids model human brain development and microcephaly. Nature 501(7467), 373–379 (2013).</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lastRenderedPageBreak/>
        <w:t>3) Mariani J, Coppola G, Zhang P et al. FOXG1-dependent dysregulation of GABA/glutamate neuron differentiation in autism spectrum disorders. Cell 162(2), 375–390 (2015).</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4) Meinhardt A, Eberle D, Tazaki A et al. 3D reconstitution of the patterned neural tube from embryonic stem cells. Stem Cell Rep. 2014 Dec 3(6), 987–999.</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5) Moshayedi P, Carmichael ST. Hyaluronan, neural stem cells and tissue reconstruction after acute ischemic stroke. Biomatter. 3(1), e23863 (2013).</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6) Hakim JS, Esmaeili Rad M, Grahn PJ et al. Positively charged oligo[poly(ethylene glycol) fumarate] scaffold implantation results in a permissive lesion environment after spinal cord injury in rat. Tissue Eng. Part A 21(13–14), 2099–2114 (2015).</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7) Lu P, Wang Y, Graham L et al. Long-distance growth and connectivity of neural stem cells after severe spinal cord injury. Cell 150(6), 1264–1273 (2012).</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8) McMurtrey RJ. Patterned and functionalized nanofiber scaffolds in 3-dimensional hydrogel constructs enhance neurite outgrowth and directional control. J. Neural Eng. 11, 066009 (2014).</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9) Aurand ER, Lampe KJ, Bjugstad KB. Defining and designing polymers and hydrogels for neural tissue engineering. Neurosci. Res. 72, 199–213 (2012).</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t>10) McMurtrey RJ. Analytic models of oxygen and nutrient diffusion, metabolism dynamics, and architecture optimization in three-dimensional tissue constructs with applications and insights in cerebral organoids. Tissue Eng. Part C Methods 22(3), 221–249 (2016).</w:t>
      </w:r>
    </w:p>
    <w:p w:rsidR="006A7D33" w:rsidRPr="006A7D33" w:rsidRDefault="006A7D33" w:rsidP="006A7D33">
      <w:pPr>
        <w:pStyle w:val="NormalWeb"/>
        <w:shd w:val="clear" w:color="auto" w:fill="FFFFFF"/>
        <w:spacing w:before="0" w:beforeAutospacing="0" w:after="225" w:afterAutospacing="0" w:line="432" w:lineRule="atLeast"/>
        <w:rPr>
          <w:rFonts w:ascii="Helvetica" w:hAnsi="Helvetica" w:cs="Helvetica"/>
          <w:noProof/>
          <w:sz w:val="27"/>
          <w:szCs w:val="27"/>
        </w:rPr>
      </w:pPr>
      <w:r w:rsidRPr="006A7D33">
        <w:rPr>
          <w:rFonts w:ascii="Helvetica" w:hAnsi="Helvetica" w:cs="Helvetica"/>
          <w:noProof/>
          <w:sz w:val="27"/>
          <w:szCs w:val="27"/>
        </w:rPr>
        <w:lastRenderedPageBreak/>
        <w:t>11) Sart S, Ma T, Yan Li Y. Preconditioning stem cells for in vivo delivery. Bioresearch Open Access 3, 137–149. (2014).</w:t>
      </w:r>
      <w:permStart w:id="0" w:edGrp="everyone"/>
      <w:permEnd w:id="0"/>
    </w:p>
    <w:p w:rsidR="006A7D33" w:rsidRPr="006A7D33" w:rsidRDefault="006A7D33" w:rsidP="006A7D33">
      <w:pPr>
        <w:shd w:val="clear" w:color="auto" w:fill="FFFFFF"/>
        <w:spacing w:after="188" w:line="240" w:lineRule="auto"/>
        <w:outlineLvl w:val="0"/>
        <w:rPr>
          <w:rFonts w:ascii="Helvetica" w:eastAsia="Times New Roman" w:hAnsi="Helvetica" w:cs="Helvetica"/>
          <w:noProof/>
          <w:kern w:val="36"/>
          <w:sz w:val="40"/>
          <w:szCs w:val="40"/>
        </w:rPr>
      </w:pPr>
    </w:p>
    <w:p w:rsidR="00540B59" w:rsidRPr="006A7D33" w:rsidRDefault="00540B59" w:rsidP="006A7D33">
      <w:pPr>
        <w:rPr>
          <w:noProof/>
          <w:sz w:val="40"/>
          <w:szCs w:val="40"/>
        </w:rPr>
      </w:pPr>
    </w:p>
    <w:sectPr w:rsidR="00540B59" w:rsidRPr="006A7D33" w:rsidSect="0065644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DZpvk4+MpphJ/rw6xr1VoMKdLw=" w:salt="QL3u7lR0P3E1+Cv6Up0hBg=="/>
  <w:defaultTabStop w:val="720"/>
  <w:characterSpacingControl w:val="doNotCompress"/>
  <w:compat>
    <w:useFELayout/>
  </w:compat>
  <w:rsids>
    <w:rsidRoot w:val="006A7D33"/>
    <w:rsid w:val="002F75B2"/>
    <w:rsid w:val="00540B59"/>
    <w:rsid w:val="0065644B"/>
    <w:rsid w:val="006A7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4B"/>
  </w:style>
  <w:style w:type="paragraph" w:styleId="Heading1">
    <w:name w:val="heading 1"/>
    <w:basedOn w:val="Normal"/>
    <w:link w:val="Heading1Char"/>
    <w:uiPriority w:val="9"/>
    <w:qFormat/>
    <w:rsid w:val="006A7D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D3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A7D33"/>
  </w:style>
  <w:style w:type="character" w:styleId="Hyperlink">
    <w:name w:val="Hyperlink"/>
    <w:basedOn w:val="DefaultParagraphFont"/>
    <w:uiPriority w:val="99"/>
    <w:semiHidden/>
    <w:unhideWhenUsed/>
    <w:rsid w:val="006A7D33"/>
    <w:rPr>
      <w:color w:val="0000FF"/>
      <w:u w:val="single"/>
    </w:rPr>
  </w:style>
  <w:style w:type="paragraph" w:styleId="NormalWeb">
    <w:name w:val="Normal (Web)"/>
    <w:basedOn w:val="Normal"/>
    <w:uiPriority w:val="99"/>
    <w:semiHidden/>
    <w:unhideWhenUsed/>
    <w:rsid w:val="006A7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009937">
      <w:bodyDiv w:val="1"/>
      <w:marLeft w:val="0"/>
      <w:marRight w:val="0"/>
      <w:marTop w:val="0"/>
      <w:marBottom w:val="0"/>
      <w:divBdr>
        <w:top w:val="none" w:sz="0" w:space="0" w:color="auto"/>
        <w:left w:val="none" w:sz="0" w:space="0" w:color="auto"/>
        <w:bottom w:val="none" w:sz="0" w:space="0" w:color="auto"/>
        <w:right w:val="none" w:sz="0" w:space="0" w:color="auto"/>
      </w:divBdr>
    </w:div>
    <w:div w:id="3037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mednet.com/users/2408-richard-mcmurt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1334</Words>
  <Characters>7609</Characters>
  <Application>Microsoft Office Word</Application>
  <DocSecurity>8</DocSecurity>
  <Lines>63</Lines>
  <Paragraphs>17</Paragraphs>
  <ScaleCrop>false</ScaleCrop>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2016-05-12T02:26:00Z</dcterms:created>
  <dcterms:modified xsi:type="dcterms:W3CDTF">2016-11-29T02:31:00Z</dcterms:modified>
</cp:coreProperties>
</file>